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620AC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DB127B2" w:rsidR="1DB127B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DB127B2" w:rsidR="1DB127B2">
        <w:rPr>
          <w:rFonts w:ascii="Arial" w:hAnsi="Arial" w:cs="Arial"/>
          <w:b/>
          <w:bCs/>
          <w:sz w:val="24"/>
          <w:szCs w:val="24"/>
        </w:rPr>
        <w:t xml:space="preserve"> </w:t>
      </w:r>
      <w:r w:rsidRPr="1DB127B2" w:rsidR="1DB127B2">
        <w:rPr>
          <w:rFonts w:ascii="Arial" w:hAnsi="Arial" w:cs="Arial"/>
          <w:sz w:val="24"/>
          <w:szCs w:val="24"/>
        </w:rPr>
        <w:t>na Rua Amália Demo Francischini</w:t>
      </w:r>
      <w:bookmarkStart w:id="0" w:name="_GoBack"/>
      <w:bookmarkEnd w:id="0"/>
      <w:r w:rsidRPr="1DB127B2" w:rsidR="1DB127B2">
        <w:rPr>
          <w:rFonts w:ascii="Arial" w:hAnsi="Arial" w:cs="Arial"/>
          <w:sz w:val="24"/>
          <w:szCs w:val="24"/>
        </w:rPr>
        <w:t>, Jardim São Domingos.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DB127B2" w:rsidR="1DB127B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840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DB127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2021-02-15T15:20:56Z</dcterms:modified>
</cp:coreProperties>
</file>