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149/2022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RUDINEI LOBO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obrigatoriedade da colocação de cadeiras de rodas em escolas privadas e públicas, localizadas dentro do município do Sumaré  e dá outras providências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junho de 2022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