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de Comissão de Assuntos Relevantes no âmbito da Câmara Municipal para o desenvolvimento de estudos visando buscar soluções para as questões relacionadas às regularizações fundiárias; aplicação de taxas de juros em loteamentos particulares; ligações de água e energia em núcleos irregulares ou em fase de regularização; contrapartidas exigidas pelo poder público para os loteamentos: Santa Joana, Estância Árvore da Vida, Sitio Pau Pintado, Viva Vista, Colinas, Recanto, Alameda, Mirante, Solar, Brisa (casa), Paisagem, Horizonte e Jardim Paulistano, entre outros; contratos do programa “Minha Casa Minha Vida”; acompanhar os processos de REURB – Regularização Fundiária Urbana; e tratamento de esgoto na cidade para fins de atendimento à saúde pública e a implantação do coletor tronco, entre outros assuntos correlatos.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