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Resolução Nº 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criação de Comissão de Assuntos Relevantes no âmbito da Câmara Municipal para o desenvolvimento de estudos visando buscar soluções para as questões relacionadas às regularizações fundiárias; aplicação de taxas de juros em loteamentos particulares; ligações de água e energia em núcleos irregulares ou em fase de regularização; contrapartidas exigidas pelo poder público para os loteamentos: Santa Joana, Estância Árvore da Vida, Sitio Pau Pintado, Viva Vista, Colinas, Recanto, Alameda, Mirante, Solar, Brisa (casa), Paisagem, Horizonte e Jardim Paulistano, entre outros; contratos do programa “Minha Casa Minha Vida”; acompanhar os processos de REURB – Regularização Fundiária Urbana; e tratamento de esgoto na cidade para fins de atendimento à saúde pública e a implantação do coletor tronco, entre outros assuntos correlatos.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38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3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