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59841C2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6E00FB">
        <w:rPr>
          <w:rFonts w:ascii="Arial" w:hAnsi="Arial" w:cs="Arial"/>
          <w:sz w:val="24"/>
          <w:szCs w:val="24"/>
        </w:rPr>
        <w:t>Antônio Nunes</w:t>
      </w:r>
      <w:r w:rsidR="00AD0330">
        <w:rPr>
          <w:rFonts w:ascii="Arial" w:hAnsi="Arial" w:cs="Arial"/>
          <w:sz w:val="24"/>
          <w:szCs w:val="24"/>
        </w:rPr>
        <w:t>, bairro Parque Regina</w:t>
      </w:r>
      <w:r w:rsidR="003E3BD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7C6B" w:rsidP="00DF7C6B" w14:paraId="6203768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fevereiro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64211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2498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17C87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1567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DF7C6B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476EA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2023-02-27T14:08:00Z</dcterms:created>
  <dcterms:modified xsi:type="dcterms:W3CDTF">2023-02-27T14:08:00Z</dcterms:modified>
</cp:coreProperties>
</file>