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3ª Sessão Ordinária de 2021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 de fevereiro de 2021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DIGÃO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"Altera dispositivo da Lei Municipal Nº 5470 de 21 de março de 2013, que dispõe sobre a proibição de telefone móveis e similares no interior das agências e pontos de serviços das instituições bancárias."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32/2021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"Emenda modificativa ao Projeto de Lei nº 32/2021 que “Fica Instituído no município de Sumaré o "Programa Sumaré Sorridente" e dá outras providências."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"Fica instituído no município de Sumaré o 'Programa Sumaré Sorridente' e dá outras providências."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NEY DO GÁS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"Incentivo ao cultivo das plantas “Citronela” e “Crotalária” como método natural de combate ao mosquito Aedes Aegypti."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37/2021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"Dispões sobre a revogação da Lei Municipal n° 6.513, de 22 de janeiro de 2021."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41/2021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autorização de criação e implantação de Clínica Escola do Autista para atendimento de alunos e capacitação de educadores Município de Sumaré e dá outras providências."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44/2021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"Dispõe sobre a adoção de medida compensatória e mitigadora aos impactos negativos sobre o meio ambiente"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